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ПЕРЕЧЕНЬ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58"/>
        <w:ind w:left="0" w:right="-140" w:firstLine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опроса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8"/>
        <w:ind w:left="0" w:right="143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ind w:left="0" w:right="-140" w:firstLine="709"/>
        <w:jc w:val="both"/>
        <w:spacing w:line="360" w:lineRule="auto"/>
        <w:rPr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В связи с принятием проекта </w:t>
      </w:r>
      <w:r>
        <w:rPr>
          <w:b w:val="0"/>
          <w:bCs w:val="0"/>
          <w:sz w:val="24"/>
          <w:szCs w:val="24"/>
          <w:highlight w:val="none"/>
        </w:rPr>
        <w:t xml:space="preserve">решения Думы Артемовского городского округа</w:t>
      </w:r>
      <w:r>
        <w:rPr>
          <w:b w:val="0"/>
          <w:bCs w:val="0"/>
          <w:sz w:val="24"/>
          <w:szCs w:val="24"/>
          <w:highlight w:val="none"/>
        </w:rPr>
        <w:t xml:space="preserve">                     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</w:t>
      </w:r>
      <w:r>
        <w:rPr>
          <w:b w:val="0"/>
          <w:bCs w:val="0"/>
          <w:sz w:val="24"/>
          <w:szCs w:val="24"/>
        </w:rPr>
        <w:t xml:space="preserve">Порядке назначения и проведения собраний </w:t>
      </w:r>
      <w:r>
        <w:rPr>
          <w:b w:val="0"/>
          <w:bCs w:val="0"/>
          <w:sz w:val="24"/>
          <w:szCs w:val="24"/>
        </w:rPr>
        <w:t xml:space="preserve">граждан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потребуется</w:t>
      </w:r>
      <w:r>
        <w:rPr>
          <w:b w:val="0"/>
          <w:bCs w:val="0"/>
          <w:sz w:val="24"/>
          <w:szCs w:val="24"/>
        </w:rPr>
        <w:t xml:space="preserve"> признания утратившими силу следующие решения: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решение Думы города Артема </w:t>
      </w:r>
      <w:r>
        <w:rPr>
          <w:sz w:val="24"/>
          <w:szCs w:val="24"/>
        </w:rPr>
        <w:t xml:space="preserve">от 30.06.2005 № 146 «Об утверждении Положения о собраниях и конференциях граждан в Артемовском городском округе»;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решение Думы Артемовского городского округа </w:t>
      </w:r>
      <w:r>
        <w:rPr>
          <w:sz w:val="24"/>
          <w:szCs w:val="24"/>
          <w:highlight w:val="none"/>
        </w:rPr>
        <w:t xml:space="preserve">от 26.03.2009 № 106 </w:t>
      </w: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 внесении изменений в решение Думы города Артема </w:t>
      </w:r>
      <w:r>
        <w:rPr>
          <w:sz w:val="24"/>
          <w:szCs w:val="24"/>
        </w:rPr>
        <w:t xml:space="preserve">от 30.06.2005 № 146 </w:t>
      </w:r>
      <w:r>
        <w:rPr>
          <w:sz w:val="24"/>
          <w:szCs w:val="24"/>
        </w:rPr>
        <w:t xml:space="preserve">«Об утверждении Положения о собраниях и конференциях граждан в Артемовском городском округе»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-140" w:firstLine="709"/>
        <w:jc w:val="both"/>
        <w:spacing w:line="32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решение Думы Артемовского городского округа </w:t>
      </w:r>
      <w:r>
        <w:rPr>
          <w:sz w:val="24"/>
          <w:szCs w:val="24"/>
          <w:highlight w:val="none"/>
        </w:rPr>
        <w:t xml:space="preserve">от 29.04.2021 № 616 </w:t>
      </w: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 внесении изменений в решение Думы города Артема </w:t>
      </w:r>
      <w:r>
        <w:rPr>
          <w:sz w:val="24"/>
          <w:szCs w:val="24"/>
        </w:rPr>
        <w:t xml:space="preserve">от 30.06.2005 № 146 </w:t>
      </w:r>
      <w:r>
        <w:rPr>
          <w:sz w:val="24"/>
          <w:szCs w:val="24"/>
        </w:rPr>
        <w:t xml:space="preserve">«Об утверждении Положения о собраниях и конференциях граждан в Артемовском городском округе» (в ред. решения Думы Артемовского городского округа от 26.03.2009 № 106)»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143" w:firstLine="0"/>
        <w:jc w:val="both"/>
        <w:spacing w:line="36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 Е.Е. Лузина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9</cp:revision>
  <dcterms:created xsi:type="dcterms:W3CDTF">2018-06-01T01:21:00Z</dcterms:created>
  <dcterms:modified xsi:type="dcterms:W3CDTF">2026-02-04T02:12:48Z</dcterms:modified>
  <cp:version>786432</cp:version>
</cp:coreProperties>
</file>